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54</w:t>
      </w:r>
    </w:p>
    <w:p>
      <w:r>
        <w:t>Bundesgericht (BGE), 2004-01-01, FR</w:t>
      </w:r>
    </w:p>
    <w:p>
      <w:r>
        <w:rPr>
          <w:b/>
        </w:rPr>
        <w:t xml:space="preserve">Quelle: </w:t>
      </w:r>
      <w:r>
        <w:t>https://mcp.opencaselaw.ch/entscheid/bge_130 IV 54</w:t>
      </w:r>
    </w:p>
    <w:p>
      <w:r>
        <w:t>FR: ATF 130 IV 54</w:t>
      </w:r>
    </w:p>
    <w:p>
      <w:r>
        <w:t>IT: DTF 130 IV 54</w:t>
      </w:r>
    </w:p>
    <w:p>
      <w:pPr>
        <w:pStyle w:val="Heading2"/>
      </w:pPr>
      <w:r>
        <w:t>Regeste</w:t>
      </w:r>
    </w:p>
    <w:p>
      <w:r>
        <w:t>Regeste Art. 63 StGB, Art. 29 Abs. 1 BV und Art. 6 Ziff. 1 EMRK, Art. 269 BStP; Strafzumessung und Beschleunigungsgebot; Nichtigkeitsbeschwerde. Die Rüge, bei der Strafzumessung sei eine Verletzung des Beschleunigungsgebots zu Unrecht nicht berücksichtigt worden, ist mit der eidgenössischen Nichtigkeitsbeschwerde zu erheben, unabhängig davon, ob die kantonale Behörde eine Verletzung des Beschleunigungsgebots ausdrücklich bejaht oder verneint oder aber nicht geprüft hat. Das Bundesgericht prüft die Verletzung dieses Gebots im Verfahren der eidgenössischen Nichtigkeitsbeschwerde vorfrageweise zur Hauptfrage der Strafzumessung (E. 3.3.2).</w:t>
      </w:r>
    </w:p>
    <w:p>
      <w:pPr>
        <w:pStyle w:val="Heading2"/>
      </w:pPr>
      <w:r>
        <w:t>Erwägungen</w:t>
      </w:r>
    </w:p>
    <w:p>
      <w:r>
        <w:rPr>
          <w:b/>
        </w:rPr>
        <w:t>E. 3.3</w:t>
      </w:r>
    </w:p>
    <w:p>
      <w:r>
        <w:t>Le recourant invoque enfin la violation du principe de la célérité consacré par les art. 29 al. 1 Cst. , 6 par. 1 CEDH et 14 par. 3 let. c Pacte ONU II (RS 0.103.2).</w:t>
      </w:r>
    </w:p>
    <w:p>
      <w:r>
        <w:rPr>
          <w:b/>
        </w:rPr>
        <w:t>E. 3.3.1</w:t>
      </w:r>
    </w:p>
    <w:p>
      <w:r>
        <w:t>Le principe de la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BGE 130 IV 54 S. 55 temps relativement long (art. 64 avant-dernier al. CP), liée à l'approche de la prescription et qui suppose que l'accusé se soit bien comporté dans l'intervalle (WIPRÄCHTIGER, Basler Kommentar, Strafgesetzbuch I, 2003, n. 31 ad art. 64 CP ).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ATF 124 I 139 consid. 2a p. 140/141). La jurisprudence a ainsi créé praeter legem des sanctions autonomes de nature matérielle.</w:t>
      </w:r>
    </w:p>
    <w:p>
      <w:r>
        <w:rPr>
          <w:b/>
        </w:rPr>
        <w:t>E. 3.3.2</w:t>
      </w:r>
    </w:p>
    <w:p>
      <w:r>
        <w:t>Selon la jurisprudence, la question de savoir si le principe de la célérité a été violé, qui relève de la violation directe de la Constitution et de la CEDH, doit être invoquée dans un recours de droit public. En revanche, l'accusé qui veut se plaindre de ce que l'autorité cantonale n'a pas tiré les conséquences que le droit fédéral fait découler de la violation du principe de la célérité, en particulier sur le plan de la peine, doit agir par le biais du pourvoi en nullité, car la détermination des conséquences d'une violation du principe de la célérité sur l'interprétation et l'application du droit pénal fédéral relève d'une violation indirecte de la Constitution et de la Convention ( ATF 119 IV 107 consid. 1b p. 109; ATF 124 I 139 consid. 2a p. 141). Cette jurisprudence ne précise cependant pas si, dans le cadre du pourvoi, la Cour de cassation pénale du Tribunal fédéral peut se prononcer, à titre préjudiciel, sur la violation du principe de la célérité ou si le recourant doit déposer au préalable un recours de droit public pour faire constater cette violation si celle-ci n'a pas déjà été constatée par l'autorité cantonale. Dans l' ATF 119 IV 107 , le Tribunal fédéral a en effet examiné si la longueur de la procédure devait entraîner des sanctions particulières. Il n'est cependant pas entré en matière sur la question de savoir si l'autorité cantonale avait nié à tort la violation du principe de la célérité, question qui a été laissée ouverte dans un recours de droit public interjeté parallèlement (arrêt du Tribunal fédéral 6P.98/1992 du 19 mars 1993, consid. 3c). L'accusé peut certes obtenir la constatation simplement déclaratoire de la violation du principe de la célérité qui constitue déjà une BGE 130 IV 54 S. 56 forme de réparation ( ATF 129 V 411 consid. 1.3 p. 417; ATF 122 IV 103 consid. I.4 p. 111; arrêt du Tribunal fédéral du 23 octobre 2000, publié in Pra 90/2001 n° 3 p. 12, consid. 4e) ou demander des dommages-intérêts ( ATF 107 Ib 160 ), mais, en règle générale, le recourant qui fait grief à l'autorité cantonale d'avoir violé le principe de la célérité entend obtenir une réduction de la peine. Depuis une dizaine d'années, la violation du principe de la célérité est ainsi devenue, de fait, une circonstance atténuante de la peine à part entière. Vu les relations étroites qui existent entre la question de la violation du principe de la célérité et l'application de l' art. 63 CP , il apparaît dès lors inutilement compliqué, mais surtout artificiel, d'obliger l'accusé à déposer un recours de droit public pour faire constater la violation du principe de la célérité, puis un pourvoi pour obtenir une réduction de sa peine. Dans un tel cas, il faut admettre que la question de la violation du principe de la célérité puisse être traitée, dans le cadre d'un pourvoi, au titre de question préjudicielle à la question principale sur la fixation de la peine. L'accusé qui entend se plaindre que l'autorité cantonale n'a pas tenu compte de la violation du principe de la célérité lors de la fixation de la peine doit donc agir par la voie du pourvoi en nullité, sans égard au fait que l'autorité cantonale ait expressément admis ou nié la violation du principe de la célérité ou qu'elle ait ignoré la question (arrêt du Tribunal fédéral 6S.309/2001 du 23 août 2001). Il s'ensuit que le grief du recourant est recevable, même si l'autorité cantonale n'a pas constaté formellement que le principe de la célérité avait été violé.</w:t>
      </w:r>
    </w:p>
    <w:p>
      <w:r>
        <w:rPr>
          <w:b/>
        </w:rPr>
        <w:t>E. 3.3.3</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BGE 130 IV 54 S. 57 quatorze mois au stade de l'instruction, un délai de quatre ans pour qu'il soit statué sur un recours contre l'acte d'accusation, un délai de dix ou onze mois pour que le dossier soit transmis à l'autorité de recours ( ATF 124 I 139 consid. 2c p. 144; ATF 119 IV 107 consid. 1c p. 110). Le principe de la célérité peut être violé, même si les autorités pénales n'ont commis aucune faute; elles ne sauraient ainsi exciper des insuffisances de l'organisation judiciaire. Le recourant estime que son affaire, qui remonte à 2000, aurait dû globalement être jugée plus rapidement. Il se plaint notamment du fait qu'il a dû attendre le début 2003 pour être présenté aux juges de première instance, alors que les faits le concernant auraient été établis et reconnus déjà deux mois après l'ouverture de l'action pénale à son encontre. Cette critique est infondée. Le dossier est relativement volumineux. L'enquête a été dirigée contre cinq accusés, qui ont commis des infractions variées (brigandage, incendie, escroquerie, faux dans les titres, etc.) et dont les rôles sont étroitement liés. Au vu de ces circonstances, une durée de trois ans entre l'ouverture de l'instruction et le jugement de première instance, puis d'une année entre le jugement de première instance et le jugement sur appel ne prête pas le flanc à la critique. Infondé, le grief du recourant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